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F316" w14:textId="77777777" w:rsidR="00412775" w:rsidRDefault="00000000">
      <w:pPr>
        <w:spacing w:after="0"/>
        <w:rPr>
          <w:b/>
          <w:sz w:val="28"/>
        </w:rPr>
      </w:pPr>
      <w:r>
        <w:rPr>
          <w:b/>
          <w:sz w:val="28"/>
        </w:rPr>
        <w:t>Overview</w:t>
      </w:r>
    </w:p>
    <w:p w14:paraId="7FFE4F15" w14:textId="55E1AD22" w:rsidR="00412775" w:rsidRDefault="00000000">
      <w:pPr>
        <w:jc w:val="both"/>
        <w:rPr>
          <w:rFonts w:eastAsia="Calibri"/>
          <w:sz w:val="21"/>
        </w:rPr>
      </w:pPr>
      <w:r>
        <w:rPr>
          <w:rFonts w:eastAsia="Calibri"/>
          <w:sz w:val="21"/>
        </w:rPr>
        <w:t xml:space="preserve">The purpose of this document is to highlight </w:t>
      </w:r>
      <w:r w:rsidR="00FD72E1">
        <w:rPr>
          <w:rFonts w:eastAsia="Calibri"/>
          <w:sz w:val="21"/>
        </w:rPr>
        <w:t>BE ACA</w:t>
      </w:r>
      <w:r>
        <w:rPr>
          <w:rFonts w:eastAsia="Calibri"/>
          <w:sz w:val="21"/>
        </w:rPr>
        <w:t xml:space="preserve"> TSS’s battery and consumable policy.  This document is a general guideline and is subject to OEM limitations and general industry practices.  </w:t>
      </w:r>
      <w:r w:rsidR="00FD72E1">
        <w:rPr>
          <w:rFonts w:eastAsia="Calibri"/>
          <w:sz w:val="21"/>
        </w:rPr>
        <w:t>BE</w:t>
      </w:r>
      <w:r w:rsidR="00EF37B9">
        <w:rPr>
          <w:rFonts w:eastAsia="Calibri"/>
          <w:sz w:val="21"/>
        </w:rPr>
        <w:t xml:space="preserve"> </w:t>
      </w:r>
      <w:r w:rsidR="00FD72E1">
        <w:rPr>
          <w:rFonts w:eastAsia="Calibri"/>
          <w:sz w:val="21"/>
        </w:rPr>
        <w:t>ACA</w:t>
      </w:r>
      <w:r>
        <w:rPr>
          <w:rFonts w:eastAsia="Calibri"/>
          <w:sz w:val="21"/>
        </w:rPr>
        <w:t xml:space="preserve"> TSS specific maintenance T&amp;C’s defining limitations can be found at:</w:t>
      </w:r>
    </w:p>
    <w:p w14:paraId="03AA0A99" w14:textId="398074D1" w:rsidR="00412775" w:rsidRDefault="00FD72E1">
      <w:pPr>
        <w:rPr>
          <w:rFonts w:eastAsia="Calibri"/>
          <w:sz w:val="21"/>
        </w:rPr>
      </w:pPr>
      <w:r>
        <w:rPr>
          <w:rFonts w:eastAsia="Calibri"/>
          <w:sz w:val="21"/>
        </w:rPr>
        <w:t xml:space="preserve">BE ACA Hardware Break/Fix maintenance support does </w:t>
      </w:r>
      <w:r>
        <w:rPr>
          <w:rFonts w:eastAsia="Calibri"/>
          <w:bCs/>
          <w:sz w:val="21"/>
          <w:u w:val="single"/>
        </w:rPr>
        <w:t>not</w:t>
      </w:r>
      <w:r>
        <w:rPr>
          <w:rFonts w:eastAsia="Calibri"/>
          <w:sz w:val="21"/>
        </w:rPr>
        <w:t xml:space="preserve"> include the replacement of batteries or any consumables that have a finite life within the system.  Consumables are defined as any part or component that is used by the equipment over its life.  Consumables are supported as T&amp;M cases and are chargeable. This includes but not limited to:</w:t>
      </w:r>
    </w:p>
    <w:p w14:paraId="2D654322" w14:textId="77777777" w:rsidR="00412775" w:rsidRDefault="00000000">
      <w:pPr>
        <w:spacing w:after="0"/>
        <w:rPr>
          <w:rFonts w:eastAsia="Calibri"/>
          <w:sz w:val="20"/>
        </w:rPr>
      </w:pPr>
      <w:r>
        <w:rPr>
          <w:rFonts w:eastAsia="Calibri"/>
          <w:bCs/>
          <w:sz w:val="20"/>
          <w:u w:val="single"/>
        </w:rPr>
        <w:t>Storage</w:t>
      </w:r>
      <w:r>
        <w:rPr>
          <w:rFonts w:eastAsia="Calibri"/>
          <w:sz w:val="20"/>
        </w:rPr>
        <w:t xml:space="preserve"> - Storage batteries are covered for electronic failure on a ‘best effort’ basis. Batteries that fail due to ‘end of life’ can be replaced as chargeable on T&amp;M ticket.</w:t>
      </w:r>
    </w:p>
    <w:p w14:paraId="20CD47FE" w14:textId="77777777" w:rsidR="00412775" w:rsidRDefault="00000000">
      <w:pPr>
        <w:pStyle w:val="ListParagraph"/>
        <w:numPr>
          <w:ilvl w:val="0"/>
          <w:numId w:val="1"/>
        </w:numPr>
        <w:rPr>
          <w:rFonts w:eastAsia="Calibri"/>
          <w:sz w:val="20"/>
        </w:rPr>
      </w:pPr>
      <w:r>
        <w:rPr>
          <w:rFonts w:eastAsia="Calibri"/>
          <w:sz w:val="20"/>
        </w:rPr>
        <w:t>Standby Power Supplies (SPS)</w:t>
      </w:r>
    </w:p>
    <w:p w14:paraId="7E4FB08A" w14:textId="77777777" w:rsidR="00412775" w:rsidRDefault="00000000">
      <w:pPr>
        <w:pStyle w:val="ListParagraph"/>
        <w:numPr>
          <w:ilvl w:val="0"/>
          <w:numId w:val="1"/>
        </w:numPr>
        <w:rPr>
          <w:rFonts w:eastAsia="Calibri"/>
          <w:sz w:val="20"/>
        </w:rPr>
      </w:pPr>
      <w:r>
        <w:rPr>
          <w:rFonts w:eastAsia="Calibri"/>
          <w:sz w:val="20"/>
        </w:rPr>
        <w:t>Battery Backup Units (BBU)</w:t>
      </w:r>
    </w:p>
    <w:p w14:paraId="52349318" w14:textId="77777777" w:rsidR="00412775" w:rsidRDefault="00000000">
      <w:pPr>
        <w:pStyle w:val="ListParagraph"/>
        <w:numPr>
          <w:ilvl w:val="0"/>
          <w:numId w:val="1"/>
        </w:numPr>
        <w:rPr>
          <w:rFonts w:eastAsia="Calibri"/>
          <w:sz w:val="20"/>
        </w:rPr>
      </w:pPr>
      <w:r>
        <w:rPr>
          <w:rFonts w:eastAsia="Calibri"/>
          <w:sz w:val="20"/>
        </w:rPr>
        <w:t>Uninterrupted Power Supplies (UPS)</w:t>
      </w:r>
    </w:p>
    <w:p w14:paraId="45FBEE63" w14:textId="77777777" w:rsidR="00412775" w:rsidRDefault="00000000">
      <w:pPr>
        <w:rPr>
          <w:rFonts w:eastAsia="Calibri"/>
          <w:bCs/>
          <w:sz w:val="20"/>
          <w:u w:val="single"/>
        </w:rPr>
      </w:pPr>
      <w:r>
        <w:rPr>
          <w:rFonts w:eastAsia="Calibri"/>
          <w:bCs/>
          <w:sz w:val="20"/>
          <w:u w:val="single"/>
        </w:rPr>
        <w:t>Solid-State Drives</w:t>
      </w:r>
      <w:r>
        <w:rPr>
          <w:rFonts w:eastAsia="Calibri"/>
          <w:sz w:val="20"/>
        </w:rPr>
        <w:t xml:space="preserve"> - Exception: </w:t>
      </w:r>
      <w:r>
        <w:rPr>
          <w:rFonts w:eastAsia="Calibri"/>
          <w:b/>
          <w:bCs/>
          <w:sz w:val="20"/>
        </w:rPr>
        <w:t>SSD are covered if the issue is due to electronic failure</w:t>
      </w:r>
      <w:r>
        <w:rPr>
          <w:rFonts w:eastAsia="Calibri"/>
          <w:sz w:val="20"/>
        </w:rPr>
        <w:t>. Policy is invoked when the device has reached its maximum usage limit (‘end of life’) it is not covered unless specified in the contract. If not specified in the contract, they can be replaced as chargeable on a T&amp;M ticket.</w:t>
      </w:r>
    </w:p>
    <w:p w14:paraId="6CF530AB" w14:textId="77777777" w:rsidR="00412775" w:rsidRDefault="00000000">
      <w:pPr>
        <w:spacing w:after="0" w:line="240" w:lineRule="auto"/>
        <w:rPr>
          <w:rFonts w:eastAsia="Calibri"/>
          <w:bCs/>
          <w:sz w:val="20"/>
          <w:u w:val="single"/>
        </w:rPr>
      </w:pPr>
      <w:r>
        <w:rPr>
          <w:rFonts w:eastAsia="Calibri"/>
          <w:bCs/>
          <w:sz w:val="20"/>
          <w:u w:val="single"/>
        </w:rPr>
        <w:t>Printers/Peripherals</w:t>
      </w:r>
      <w:r>
        <w:rPr>
          <w:rFonts w:eastAsia="Calibri"/>
          <w:sz w:val="20"/>
        </w:rPr>
        <w:t xml:space="preserve"> – Not Covered</w:t>
      </w:r>
    </w:p>
    <w:p w14:paraId="1558EEC2" w14:textId="77777777" w:rsidR="00412775" w:rsidRDefault="00000000">
      <w:pPr>
        <w:pStyle w:val="ListParagraph"/>
        <w:numPr>
          <w:ilvl w:val="0"/>
          <w:numId w:val="2"/>
        </w:numPr>
        <w:rPr>
          <w:rFonts w:eastAsia="Calibri"/>
          <w:sz w:val="20"/>
        </w:rPr>
      </w:pPr>
      <w:r>
        <w:rPr>
          <w:rFonts w:eastAsia="Calibri"/>
          <w:sz w:val="20"/>
        </w:rPr>
        <w:t>Ribbon</w:t>
      </w:r>
    </w:p>
    <w:p w14:paraId="0FCC4BD7" w14:textId="77777777" w:rsidR="00412775" w:rsidRDefault="00000000">
      <w:pPr>
        <w:pStyle w:val="ListParagraph"/>
        <w:numPr>
          <w:ilvl w:val="0"/>
          <w:numId w:val="2"/>
        </w:numPr>
        <w:rPr>
          <w:rFonts w:eastAsia="Calibri"/>
          <w:sz w:val="20"/>
        </w:rPr>
      </w:pPr>
      <w:r>
        <w:rPr>
          <w:rFonts w:eastAsia="Calibri"/>
          <w:sz w:val="20"/>
        </w:rPr>
        <w:t>Ink / Toner</w:t>
      </w:r>
    </w:p>
    <w:p w14:paraId="2B8635E6" w14:textId="77777777" w:rsidR="00412775" w:rsidRDefault="00000000">
      <w:pPr>
        <w:spacing w:after="0" w:line="240" w:lineRule="auto"/>
        <w:rPr>
          <w:rFonts w:eastAsia="Calibri"/>
          <w:sz w:val="20"/>
        </w:rPr>
      </w:pPr>
      <w:r>
        <w:rPr>
          <w:rFonts w:eastAsia="Calibri"/>
          <w:bCs/>
          <w:sz w:val="20"/>
          <w:u w:val="single"/>
        </w:rPr>
        <w:t xml:space="preserve">General </w:t>
      </w:r>
      <w:r>
        <w:rPr>
          <w:rFonts w:eastAsia="Calibri"/>
          <w:sz w:val="20"/>
        </w:rPr>
        <w:t>– Not Covered</w:t>
      </w:r>
    </w:p>
    <w:p w14:paraId="56CE7445" w14:textId="77777777" w:rsidR="00412775" w:rsidRDefault="00000000">
      <w:pPr>
        <w:pStyle w:val="ListParagraph"/>
        <w:numPr>
          <w:ilvl w:val="0"/>
          <w:numId w:val="3"/>
        </w:numPr>
        <w:rPr>
          <w:rFonts w:eastAsia="Calibri"/>
          <w:sz w:val="20"/>
        </w:rPr>
      </w:pPr>
      <w:r>
        <w:rPr>
          <w:rFonts w:eastAsia="Calibri"/>
          <w:sz w:val="20"/>
        </w:rPr>
        <w:t>Ethernet Cables</w:t>
      </w:r>
    </w:p>
    <w:p w14:paraId="494F725A" w14:textId="77777777" w:rsidR="00412775" w:rsidRDefault="00000000">
      <w:pPr>
        <w:pStyle w:val="ListParagraph"/>
        <w:numPr>
          <w:ilvl w:val="0"/>
          <w:numId w:val="3"/>
        </w:numPr>
        <w:rPr>
          <w:rFonts w:eastAsia="Calibri"/>
          <w:sz w:val="20"/>
        </w:rPr>
      </w:pPr>
      <w:r>
        <w:rPr>
          <w:rFonts w:eastAsia="Calibri"/>
          <w:sz w:val="20"/>
        </w:rPr>
        <w:t>Power Cords</w:t>
      </w:r>
    </w:p>
    <w:p w14:paraId="07E2C722" w14:textId="77777777" w:rsidR="00412775" w:rsidRDefault="00000000">
      <w:pPr>
        <w:pStyle w:val="ListParagraph"/>
        <w:numPr>
          <w:ilvl w:val="0"/>
          <w:numId w:val="3"/>
        </w:numPr>
        <w:rPr>
          <w:rFonts w:eastAsia="Calibri"/>
          <w:sz w:val="20"/>
        </w:rPr>
      </w:pPr>
      <w:r>
        <w:rPr>
          <w:rFonts w:eastAsia="Calibri"/>
          <w:sz w:val="20"/>
        </w:rPr>
        <w:t>Mounting Hardware</w:t>
      </w:r>
    </w:p>
    <w:p w14:paraId="21FE0E10" w14:textId="77777777" w:rsidR="00412775" w:rsidRDefault="00000000">
      <w:pPr>
        <w:pStyle w:val="ListParagraph"/>
        <w:numPr>
          <w:ilvl w:val="0"/>
          <w:numId w:val="3"/>
        </w:numPr>
        <w:rPr>
          <w:rFonts w:eastAsia="Calibri"/>
          <w:sz w:val="20"/>
        </w:rPr>
      </w:pPr>
      <w:r>
        <w:rPr>
          <w:rFonts w:eastAsia="Calibri"/>
          <w:sz w:val="20"/>
        </w:rPr>
        <w:t>Cosmetic Pieces</w:t>
      </w:r>
    </w:p>
    <w:p w14:paraId="2A6E43D2" w14:textId="77777777" w:rsidR="00412775" w:rsidRDefault="00000000">
      <w:pPr>
        <w:spacing w:after="0" w:line="240" w:lineRule="auto"/>
        <w:rPr>
          <w:rFonts w:eastAsia="Calibri"/>
          <w:sz w:val="20"/>
        </w:rPr>
      </w:pPr>
      <w:r>
        <w:rPr>
          <w:rFonts w:eastAsia="Calibri"/>
          <w:bCs/>
          <w:sz w:val="20"/>
          <w:u w:val="single"/>
        </w:rPr>
        <w:t>Servers</w:t>
      </w:r>
      <w:r>
        <w:rPr>
          <w:rFonts w:eastAsia="Calibri"/>
          <w:sz w:val="20"/>
        </w:rPr>
        <w:t xml:space="preserve"> –</w:t>
      </w:r>
      <w:r>
        <w:rPr>
          <w:rFonts w:eastAsia="Calibri"/>
          <w:bCs/>
          <w:sz w:val="20"/>
        </w:rPr>
        <w:t xml:space="preserve"> </w:t>
      </w:r>
      <w:r>
        <w:rPr>
          <w:rFonts w:eastAsia="Calibri"/>
          <w:b/>
          <w:bCs/>
          <w:sz w:val="20"/>
          <w:u w:val="single"/>
        </w:rPr>
        <w:t>Covered</w:t>
      </w:r>
      <w:r>
        <w:rPr>
          <w:rFonts w:eastAsia="Calibri"/>
          <w:sz w:val="20"/>
        </w:rPr>
        <w:t>, but on a ‘best effort’, not on a SLA basis due to battery life are</w:t>
      </w:r>
    </w:p>
    <w:p w14:paraId="632C981E" w14:textId="77777777" w:rsidR="00412775" w:rsidRDefault="00000000">
      <w:pPr>
        <w:pStyle w:val="ListParagraph"/>
        <w:numPr>
          <w:ilvl w:val="0"/>
          <w:numId w:val="4"/>
        </w:numPr>
        <w:rPr>
          <w:rFonts w:eastAsia="Calibri"/>
          <w:bCs/>
          <w:sz w:val="20"/>
          <w:u w:val="single"/>
        </w:rPr>
      </w:pPr>
      <w:r>
        <w:rPr>
          <w:rFonts w:eastAsia="Calibri"/>
          <w:sz w:val="20"/>
        </w:rPr>
        <w:t>Cache Batteries</w:t>
      </w:r>
    </w:p>
    <w:p w14:paraId="40D4A604" w14:textId="77777777" w:rsidR="00412775" w:rsidRDefault="00000000">
      <w:pPr>
        <w:pStyle w:val="ListParagraph"/>
        <w:numPr>
          <w:ilvl w:val="0"/>
          <w:numId w:val="4"/>
        </w:numPr>
        <w:rPr>
          <w:rFonts w:eastAsia="Calibri"/>
          <w:sz w:val="20"/>
        </w:rPr>
      </w:pPr>
      <w:r>
        <w:rPr>
          <w:rFonts w:eastAsia="Calibri"/>
          <w:sz w:val="20"/>
        </w:rPr>
        <w:t>CMOS Batteries</w:t>
      </w:r>
    </w:p>
    <w:p w14:paraId="38F1CF9B" w14:textId="77777777" w:rsidR="00412775" w:rsidRDefault="00412775">
      <w:pPr>
        <w:pStyle w:val="ListParagraph"/>
        <w:ind w:left="0"/>
        <w:rPr>
          <w:rFonts w:eastAsia="Calibri"/>
          <w:sz w:val="20"/>
        </w:rPr>
      </w:pPr>
    </w:p>
    <w:p w14:paraId="2FB63338" w14:textId="77777777" w:rsidR="00412775" w:rsidRDefault="00000000">
      <w:pPr>
        <w:pStyle w:val="ListParagraph"/>
        <w:ind w:left="0"/>
        <w:rPr>
          <w:rFonts w:eastAsia="Calibri"/>
          <w:sz w:val="20"/>
        </w:rPr>
      </w:pPr>
      <w:r>
        <w:rPr>
          <w:rFonts w:eastAsia="Calibri"/>
          <w:sz w:val="20"/>
          <w:u w:val="single"/>
        </w:rPr>
        <w:t>Networking</w:t>
      </w:r>
      <w:r>
        <w:rPr>
          <w:rFonts w:eastAsia="Calibri"/>
          <w:sz w:val="20"/>
        </w:rPr>
        <w:t>- SFP’s / transceivers- Not Covered, customer to provide on a ticket</w:t>
      </w:r>
    </w:p>
    <w:p w14:paraId="7BD7B0E0" w14:textId="008E34CF" w:rsidR="00412775" w:rsidRDefault="00000000">
      <w:pPr>
        <w:pStyle w:val="ListParagraph"/>
        <w:numPr>
          <w:ilvl w:val="0"/>
          <w:numId w:val="4"/>
        </w:numPr>
        <w:rPr>
          <w:rFonts w:eastAsia="Calibri"/>
          <w:sz w:val="20"/>
        </w:rPr>
      </w:pPr>
      <w:r>
        <w:rPr>
          <w:rFonts w:eastAsia="Calibri"/>
          <w:sz w:val="20"/>
        </w:rPr>
        <w:t>10G,</w:t>
      </w:r>
      <w:r w:rsidR="00EF37B9">
        <w:rPr>
          <w:rFonts w:eastAsia="Calibri"/>
          <w:sz w:val="20"/>
        </w:rPr>
        <w:t xml:space="preserve"> </w:t>
      </w:r>
      <w:r>
        <w:rPr>
          <w:rFonts w:eastAsia="Calibri"/>
          <w:sz w:val="20"/>
        </w:rPr>
        <w:t xml:space="preserve">25G, 40G, 100G </w:t>
      </w:r>
    </w:p>
    <w:p w14:paraId="1CA970CC" w14:textId="77777777" w:rsidR="00412775" w:rsidRDefault="00000000">
      <w:pPr>
        <w:pStyle w:val="ListParagraph"/>
        <w:numPr>
          <w:ilvl w:val="0"/>
          <w:numId w:val="4"/>
        </w:numPr>
        <w:rPr>
          <w:rFonts w:eastAsia="Calibri"/>
          <w:sz w:val="20"/>
        </w:rPr>
      </w:pPr>
      <w:r>
        <w:rPr>
          <w:rFonts w:eastAsia="Calibri"/>
          <w:sz w:val="20"/>
        </w:rPr>
        <w:t>SFP’s</w:t>
      </w:r>
    </w:p>
    <w:p w14:paraId="2B58F97C" w14:textId="77777777" w:rsidR="00412775" w:rsidRDefault="00000000">
      <w:pPr>
        <w:rPr>
          <w:rFonts w:eastAsia="Calibri"/>
          <w:sz w:val="21"/>
          <w:szCs w:val="24"/>
        </w:rPr>
      </w:pPr>
      <w:r>
        <w:rPr>
          <w:rFonts w:eastAsia="Calibri"/>
          <w:sz w:val="20"/>
          <w:szCs w:val="24"/>
        </w:rPr>
        <w:t>Enterprise systems typically provide 60-90 day warnings that consumables are up for replacement.  This typically gives enough time to plan for and procure replacement parts as a separate T&amp;M activity to the maintenance contract.  The SLA associated with replacements of Batteries &amp; Consumables is Next Business Day or Best-Effort based on the consumable needed and the location of service</w:t>
      </w:r>
      <w:r>
        <w:rPr>
          <w:rFonts w:eastAsia="Calibri"/>
          <w:sz w:val="21"/>
          <w:szCs w:val="24"/>
        </w:rPr>
        <w:t>.</w:t>
      </w:r>
    </w:p>
    <w:p w14:paraId="0F67C671" w14:textId="77777777" w:rsidR="00412775" w:rsidRDefault="00000000">
      <w:pPr>
        <w:rPr>
          <w:rFonts w:eastAsia="Calibri"/>
          <w:b/>
          <w:bCs/>
          <w:sz w:val="21"/>
          <w:szCs w:val="24"/>
          <w:u w:val="single"/>
        </w:rPr>
      </w:pPr>
      <w:r>
        <w:rPr>
          <w:rFonts w:eastAsia="Calibri"/>
          <w:b/>
          <w:bCs/>
          <w:sz w:val="21"/>
          <w:szCs w:val="24"/>
        </w:rPr>
        <w:t xml:space="preserve">Implementation of this policy is </w:t>
      </w:r>
      <w:r>
        <w:rPr>
          <w:rFonts w:eastAsia="Calibri"/>
          <w:b/>
          <w:bCs/>
          <w:sz w:val="21"/>
          <w:szCs w:val="24"/>
          <w:u w:val="single"/>
        </w:rPr>
        <w:t>March 1, 2023</w:t>
      </w:r>
    </w:p>
    <w:sectPr w:rsidR="004127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4FCF" w14:textId="77777777" w:rsidR="003F6140" w:rsidRDefault="003F6140">
      <w:pPr>
        <w:spacing w:line="240" w:lineRule="auto"/>
      </w:pPr>
      <w:r>
        <w:separator/>
      </w:r>
    </w:p>
  </w:endnote>
  <w:endnote w:type="continuationSeparator" w:id="0">
    <w:p w14:paraId="4678246A" w14:textId="77777777" w:rsidR="003F6140" w:rsidRDefault="003F6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苹方-简"/>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F93B" w14:textId="77777777" w:rsidR="00412775" w:rsidRDefault="00000000">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7C8E8FA" wp14:editId="719EAFE2">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7A799" w14:textId="77777777" w:rsidR="00412775" w:rsidRDefault="0041277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noAutofit/>
                      </wps:bodyPr>
                    </wps:wsp>
                  </wpg:wgp>
                </a:graphicData>
              </a:graphic>
              <wp14:sizeRelH relativeFrom="margin">
                <wp14:pctWidth>100000</wp14:pctWidth>
              </wp14:sizeRelH>
              <wp14:sizeRelV relativeFrom="page">
                <wp14:pctHeight>0</wp14:pctHeight>
              </wp14:sizeRelV>
            </wp:anchor>
          </w:drawing>
        </mc:Choice>
        <mc:Fallback>
          <w:pict>
            <v:group w14:anchorId="77C8E8FA"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187A799" w14:textId="77777777" w:rsidR="00412775" w:rsidRDefault="0041277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FCE750C" wp14:editId="5E6D489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1FBEB" w14:textId="77777777" w:rsidR="00412775" w:rsidRDefault="0000000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w14:anchorId="6FCE750C" id="Rectangle 40" o:spid="_x0000_s1029" style="position:absolute;margin-left:0;margin-top:0;width:36pt;height:25.2pt;z-index:251659264;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" fillcolor="black [3213]" stroked="f" strokeweight="3pt">
              <v:textbox>
                <w:txbxContent>
                  <w:p w14:paraId="5531FBEB" w14:textId="77777777" w:rsidR="00412775" w:rsidRDefault="0000000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6AC4" w14:textId="77777777" w:rsidR="003F6140" w:rsidRDefault="003F6140">
      <w:pPr>
        <w:spacing w:after="0"/>
      </w:pPr>
      <w:r>
        <w:separator/>
      </w:r>
    </w:p>
  </w:footnote>
  <w:footnote w:type="continuationSeparator" w:id="0">
    <w:p w14:paraId="41F6EC4D" w14:textId="77777777" w:rsidR="003F6140" w:rsidRDefault="003F61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5B8E" w14:textId="7B579F94" w:rsidR="00412775" w:rsidRDefault="00EF37B9">
    <w:pPr>
      <w:pStyle w:val="Title"/>
      <w:jc w:val="right"/>
      <w:rPr>
        <w:b/>
        <w:sz w:val="36"/>
      </w:rPr>
    </w:pPr>
    <w:r>
      <w:rPr>
        <w:noProof/>
      </w:rPr>
      <w:drawing>
        <wp:anchor distT="0" distB="0" distL="114300" distR="114300" simplePos="0" relativeHeight="251661312" behindDoc="0" locked="0" layoutInCell="1" allowOverlap="1" wp14:anchorId="6B91E99F" wp14:editId="2933089C">
          <wp:simplePos x="0" y="0"/>
          <wp:positionH relativeFrom="column">
            <wp:posOffset>-219922</wp:posOffset>
          </wp:positionH>
          <wp:positionV relativeFrom="paragraph">
            <wp:posOffset>-228600</wp:posOffset>
          </wp:positionV>
          <wp:extent cx="2649382" cy="1008803"/>
          <wp:effectExtent l="0" t="0" r="0" b="1270"/>
          <wp:wrapNone/>
          <wp:docPr id="4" name="Graphic 3">
            <a:extLst xmlns:a="http://schemas.openxmlformats.org/drawingml/2006/main">
              <a:ext uri="{FF2B5EF4-FFF2-40B4-BE49-F238E27FC236}">
                <a16:creationId xmlns:a16="http://schemas.microsoft.com/office/drawing/2014/main" id="{7CAB25EB-987D-9F6D-EA7E-88D1A7E82D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7CAB25EB-987D-9F6D-EA7E-88D1A7E82DCF}"/>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49382" cy="1008803"/>
                  </a:xfrm>
                  <a:prstGeom prst="rect">
                    <a:avLst/>
                  </a:prstGeom>
                </pic:spPr>
              </pic:pic>
            </a:graphicData>
          </a:graphic>
          <wp14:sizeRelH relativeFrom="margin">
            <wp14:pctWidth>0</wp14:pctWidth>
          </wp14:sizeRelH>
          <wp14:sizeRelV relativeFrom="margin">
            <wp14:pctHeight>0</wp14:pctHeight>
          </wp14:sizeRelV>
        </wp:anchor>
      </w:drawing>
    </w:r>
    <w:r w:rsidR="00FD72E1">
      <w:rPr>
        <w:b/>
        <w:sz w:val="36"/>
      </w:rPr>
      <w:t>Maintenance Overview:</w:t>
    </w:r>
  </w:p>
  <w:p w14:paraId="1FCB026C" w14:textId="2BA4CD40" w:rsidR="00412775" w:rsidRDefault="00000000">
    <w:pPr>
      <w:pStyle w:val="Title"/>
      <w:spacing w:after="120"/>
      <w:jc w:val="right"/>
      <w:rPr>
        <w:b/>
        <w:sz w:val="48"/>
      </w:rPr>
    </w:pPr>
    <w:r>
      <w:rPr>
        <w:b/>
        <w:sz w:val="48"/>
      </w:rPr>
      <w:t xml:space="preserve">Battery &amp; Consumables </w:t>
    </w:r>
  </w:p>
  <w:p w14:paraId="4A28A6AD" w14:textId="77777777" w:rsidR="00412775" w:rsidRDefault="0041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621"/>
    <w:multiLevelType w:val="multilevel"/>
    <w:tmpl w:val="0C930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7C5E48"/>
    <w:multiLevelType w:val="multilevel"/>
    <w:tmpl w:val="247C5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D385E38"/>
    <w:multiLevelType w:val="multilevel"/>
    <w:tmpl w:val="3D385E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A119EE"/>
    <w:multiLevelType w:val="multilevel"/>
    <w:tmpl w:val="69A11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18503937">
    <w:abstractNumId w:val="0"/>
  </w:num>
  <w:num w:numId="2" w16cid:durableId="124079549">
    <w:abstractNumId w:val="2"/>
  </w:num>
  <w:num w:numId="3" w16cid:durableId="554316962">
    <w:abstractNumId w:val="1"/>
  </w:num>
  <w:num w:numId="4" w16cid:durableId="1476099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AD"/>
    <w:rsid w:val="FEEF6DFF"/>
    <w:rsid w:val="0000063B"/>
    <w:rsid w:val="000048A7"/>
    <w:rsid w:val="0004212A"/>
    <w:rsid w:val="00056D54"/>
    <w:rsid w:val="00061692"/>
    <w:rsid w:val="0008195B"/>
    <w:rsid w:val="00096ED6"/>
    <w:rsid w:val="000A0DEC"/>
    <w:rsid w:val="000D750C"/>
    <w:rsid w:val="000F7598"/>
    <w:rsid w:val="001220BF"/>
    <w:rsid w:val="00154FB2"/>
    <w:rsid w:val="00161AB4"/>
    <w:rsid w:val="001702FB"/>
    <w:rsid w:val="00185BF9"/>
    <w:rsid w:val="001F3A33"/>
    <w:rsid w:val="002163F0"/>
    <w:rsid w:val="002E48C6"/>
    <w:rsid w:val="003010AD"/>
    <w:rsid w:val="00303104"/>
    <w:rsid w:val="00333884"/>
    <w:rsid w:val="00354DCD"/>
    <w:rsid w:val="0035650A"/>
    <w:rsid w:val="0036003D"/>
    <w:rsid w:val="003D36A1"/>
    <w:rsid w:val="003F6140"/>
    <w:rsid w:val="004068D8"/>
    <w:rsid w:val="00412775"/>
    <w:rsid w:val="00494318"/>
    <w:rsid w:val="004D6EF1"/>
    <w:rsid w:val="00541658"/>
    <w:rsid w:val="005F4AD2"/>
    <w:rsid w:val="006463F4"/>
    <w:rsid w:val="00684ED6"/>
    <w:rsid w:val="006B1880"/>
    <w:rsid w:val="006B7EF1"/>
    <w:rsid w:val="006E6782"/>
    <w:rsid w:val="00700750"/>
    <w:rsid w:val="00722F81"/>
    <w:rsid w:val="00742D95"/>
    <w:rsid w:val="00745F59"/>
    <w:rsid w:val="007661A7"/>
    <w:rsid w:val="007734CC"/>
    <w:rsid w:val="00780B1A"/>
    <w:rsid w:val="007873F1"/>
    <w:rsid w:val="007E4E8C"/>
    <w:rsid w:val="00800C37"/>
    <w:rsid w:val="0081360C"/>
    <w:rsid w:val="00863F71"/>
    <w:rsid w:val="008A62DD"/>
    <w:rsid w:val="008B7C16"/>
    <w:rsid w:val="008D1F5C"/>
    <w:rsid w:val="00913128"/>
    <w:rsid w:val="009E66C1"/>
    <w:rsid w:val="009F5938"/>
    <w:rsid w:val="00A17DB0"/>
    <w:rsid w:val="00A22924"/>
    <w:rsid w:val="00A57D60"/>
    <w:rsid w:val="00AF548A"/>
    <w:rsid w:val="00B03FE3"/>
    <w:rsid w:val="00B2236C"/>
    <w:rsid w:val="00B63BDE"/>
    <w:rsid w:val="00B95AB7"/>
    <w:rsid w:val="00BA4592"/>
    <w:rsid w:val="00BB3E77"/>
    <w:rsid w:val="00BD57B6"/>
    <w:rsid w:val="00BD5C72"/>
    <w:rsid w:val="00C35A40"/>
    <w:rsid w:val="00C41A6E"/>
    <w:rsid w:val="00C4544F"/>
    <w:rsid w:val="00C57896"/>
    <w:rsid w:val="00C81457"/>
    <w:rsid w:val="00C9494F"/>
    <w:rsid w:val="00C956F0"/>
    <w:rsid w:val="00C97EBC"/>
    <w:rsid w:val="00D05674"/>
    <w:rsid w:val="00DA0F4F"/>
    <w:rsid w:val="00DA1C83"/>
    <w:rsid w:val="00DC3333"/>
    <w:rsid w:val="00DD2FE9"/>
    <w:rsid w:val="00DE0DC9"/>
    <w:rsid w:val="00DE3865"/>
    <w:rsid w:val="00E027CF"/>
    <w:rsid w:val="00E1612A"/>
    <w:rsid w:val="00E46AF7"/>
    <w:rsid w:val="00E533C0"/>
    <w:rsid w:val="00E7619B"/>
    <w:rsid w:val="00E77139"/>
    <w:rsid w:val="00EA4BE2"/>
    <w:rsid w:val="00EB260A"/>
    <w:rsid w:val="00EB5E44"/>
    <w:rsid w:val="00EF039F"/>
    <w:rsid w:val="00EF37B9"/>
    <w:rsid w:val="00F03964"/>
    <w:rsid w:val="00F10998"/>
    <w:rsid w:val="00F4717B"/>
    <w:rsid w:val="00F5576D"/>
    <w:rsid w:val="00FB4602"/>
    <w:rsid w:val="00FD0AD3"/>
    <w:rsid w:val="00FD72E1"/>
    <w:rsid w:val="75F3BD5E"/>
    <w:rsid w:val="7FDD9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33564"/>
  <w15:docId w15:val="{D9ACC2B1-5B57-4EDF-95F3-5127EDD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Hudson</dc:creator>
  <cp:lastModifiedBy>Chris Png</cp:lastModifiedBy>
  <cp:revision>3</cp:revision>
  <dcterms:created xsi:type="dcterms:W3CDTF">2023-11-07T07:48:00Z</dcterms:created>
  <dcterms:modified xsi:type="dcterms:W3CDTF">2023-11-15T06:34:00Z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